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BC45" w14:textId="77777777" w:rsidR="001B2BB2" w:rsidRPr="00E20769" w:rsidRDefault="00CB29DD" w:rsidP="00CB29DD">
      <w:pPr>
        <w:jc w:val="center"/>
        <w:rPr>
          <w:b/>
          <w:szCs w:val="24"/>
          <w:u w:val="single"/>
        </w:rPr>
      </w:pPr>
      <w:r w:rsidRPr="00E20769">
        <w:rPr>
          <w:b/>
          <w:szCs w:val="24"/>
          <w:u w:val="single"/>
        </w:rPr>
        <w:t xml:space="preserve">GUIDELINES FOR </w:t>
      </w:r>
    </w:p>
    <w:p w14:paraId="38C85444" w14:textId="77777777" w:rsidR="00B54E48" w:rsidRDefault="00CB29DD" w:rsidP="00CB29DD">
      <w:pPr>
        <w:jc w:val="center"/>
        <w:rPr>
          <w:b/>
          <w:szCs w:val="24"/>
          <w:u w:val="single"/>
        </w:rPr>
      </w:pPr>
      <w:r w:rsidRPr="00E20769">
        <w:rPr>
          <w:b/>
          <w:szCs w:val="24"/>
          <w:u w:val="single"/>
        </w:rPr>
        <w:t>PRINCE WILLIAM COUNTY SERVICE AUTHORITY</w:t>
      </w:r>
      <w:r w:rsidR="00B54E48">
        <w:rPr>
          <w:b/>
          <w:szCs w:val="24"/>
          <w:u w:val="single"/>
        </w:rPr>
        <w:t>,</w:t>
      </w:r>
    </w:p>
    <w:p w14:paraId="706A9448" w14:textId="59DD83A4" w:rsidR="00CB29DD" w:rsidRPr="00E20769" w:rsidRDefault="00B54E48" w:rsidP="00CB29DD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DBA PRINCE WILLIAM WATER</w:t>
      </w:r>
    </w:p>
    <w:p w14:paraId="43C7799B" w14:textId="77777777" w:rsidR="00CB29DD" w:rsidRPr="00E20769" w:rsidRDefault="00CB29DD" w:rsidP="00CB29DD">
      <w:pPr>
        <w:jc w:val="center"/>
        <w:rPr>
          <w:szCs w:val="24"/>
        </w:rPr>
      </w:pPr>
      <w:r w:rsidRPr="00E20769">
        <w:rPr>
          <w:b/>
          <w:szCs w:val="24"/>
          <w:u w:val="single"/>
        </w:rPr>
        <w:t>OMNIBUS DEED OF EASEMENT</w:t>
      </w:r>
    </w:p>
    <w:p w14:paraId="5690F511" w14:textId="7892D3FC" w:rsidR="00CB29DD" w:rsidRPr="00E20769" w:rsidRDefault="006A5694" w:rsidP="00CB29DD">
      <w:pPr>
        <w:jc w:val="center"/>
        <w:rPr>
          <w:szCs w:val="24"/>
        </w:rPr>
      </w:pPr>
      <w:r>
        <w:rPr>
          <w:b/>
          <w:szCs w:val="24"/>
        </w:rPr>
        <w:t>March 2, 2026</w:t>
      </w:r>
    </w:p>
    <w:p w14:paraId="12166B24" w14:textId="77777777" w:rsidR="00CB29DD" w:rsidRPr="00E20769" w:rsidRDefault="00CB29DD" w:rsidP="00CB29DD">
      <w:pPr>
        <w:rPr>
          <w:szCs w:val="24"/>
        </w:rPr>
      </w:pPr>
    </w:p>
    <w:p w14:paraId="0118EF04" w14:textId="0C073B6B" w:rsidR="00CB29DD" w:rsidRPr="00E20769" w:rsidRDefault="00CB29DD" w:rsidP="00CB29DD">
      <w:pPr>
        <w:ind w:firstLine="720"/>
        <w:rPr>
          <w:szCs w:val="24"/>
        </w:rPr>
      </w:pPr>
      <w:r w:rsidRPr="00E20769">
        <w:rPr>
          <w:szCs w:val="24"/>
        </w:rPr>
        <w:t xml:space="preserve">All parties </w:t>
      </w:r>
      <w:r w:rsidR="003B0737">
        <w:rPr>
          <w:szCs w:val="24"/>
        </w:rPr>
        <w:t xml:space="preserve">intending to </w:t>
      </w:r>
      <w:r w:rsidRPr="00E20769">
        <w:rPr>
          <w:szCs w:val="24"/>
        </w:rPr>
        <w:t xml:space="preserve">convey easements and interests in real property </w:t>
      </w:r>
      <w:r w:rsidR="003B0737">
        <w:rPr>
          <w:szCs w:val="24"/>
        </w:rPr>
        <w:t xml:space="preserve">(“Applicant”) </w:t>
      </w:r>
      <w:r w:rsidRPr="00E20769">
        <w:rPr>
          <w:szCs w:val="24"/>
        </w:rPr>
        <w:t>to the Prince William County Service Authority</w:t>
      </w:r>
      <w:r w:rsidR="00B54E48">
        <w:rPr>
          <w:szCs w:val="24"/>
        </w:rPr>
        <w:t>, dba Prince William Water</w:t>
      </w:r>
      <w:r w:rsidRPr="00E20769">
        <w:rPr>
          <w:szCs w:val="24"/>
        </w:rPr>
        <w:t xml:space="preserve"> (“</w:t>
      </w:r>
      <w:r w:rsidR="00B54E48">
        <w:rPr>
          <w:szCs w:val="24"/>
        </w:rPr>
        <w:t>Prince William Water</w:t>
      </w:r>
      <w:r w:rsidRPr="00E20769">
        <w:rPr>
          <w:szCs w:val="24"/>
        </w:rPr>
        <w:t>”) should review and abide by the following guidelines</w:t>
      </w:r>
      <w:r w:rsidR="00E20769" w:rsidRPr="00E20769">
        <w:rPr>
          <w:szCs w:val="24"/>
        </w:rPr>
        <w:t>:</w:t>
      </w:r>
    </w:p>
    <w:p w14:paraId="34962300" w14:textId="77777777" w:rsidR="001347C3" w:rsidRPr="00E20769" w:rsidRDefault="001347C3" w:rsidP="001347C3">
      <w:pPr>
        <w:rPr>
          <w:szCs w:val="24"/>
        </w:rPr>
      </w:pPr>
    </w:p>
    <w:p w14:paraId="7EC999D4" w14:textId="08694795" w:rsidR="001347C3" w:rsidRPr="00E20769" w:rsidRDefault="001347C3" w:rsidP="001347C3">
      <w:pPr>
        <w:pStyle w:val="ListParagraph"/>
        <w:numPr>
          <w:ilvl w:val="0"/>
          <w:numId w:val="1"/>
        </w:numPr>
        <w:rPr>
          <w:szCs w:val="24"/>
        </w:rPr>
      </w:pPr>
      <w:r w:rsidRPr="00E20769">
        <w:rPr>
          <w:szCs w:val="24"/>
        </w:rPr>
        <w:t xml:space="preserve">The </w:t>
      </w:r>
      <w:r w:rsidR="003B0737">
        <w:rPr>
          <w:szCs w:val="24"/>
        </w:rPr>
        <w:t>Applicant</w:t>
      </w:r>
      <w:r w:rsidRPr="00E20769">
        <w:rPr>
          <w:szCs w:val="24"/>
        </w:rPr>
        <w:t xml:space="preserve"> is responsible for </w:t>
      </w:r>
      <w:r w:rsidR="004E0C12">
        <w:rPr>
          <w:szCs w:val="24"/>
        </w:rPr>
        <w:t>preparing</w:t>
      </w:r>
      <w:r w:rsidRPr="00E20769">
        <w:rPr>
          <w:szCs w:val="24"/>
        </w:rPr>
        <w:t xml:space="preserve"> the deed, submi</w:t>
      </w:r>
      <w:r w:rsidR="004E0C12">
        <w:rPr>
          <w:szCs w:val="24"/>
        </w:rPr>
        <w:t>tting it</w:t>
      </w:r>
      <w:r w:rsidRPr="00E20769">
        <w:rPr>
          <w:szCs w:val="24"/>
        </w:rPr>
        <w:t xml:space="preserve"> </w:t>
      </w:r>
      <w:r w:rsidR="004E0C12">
        <w:rPr>
          <w:szCs w:val="24"/>
        </w:rPr>
        <w:t xml:space="preserve">to </w:t>
      </w:r>
      <w:r w:rsidR="00B54E48">
        <w:rPr>
          <w:szCs w:val="24"/>
        </w:rPr>
        <w:t xml:space="preserve">Prince William Water </w:t>
      </w:r>
      <w:r w:rsidR="004E0C12">
        <w:rPr>
          <w:szCs w:val="24"/>
        </w:rPr>
        <w:t>for</w:t>
      </w:r>
      <w:r w:rsidRPr="00E20769">
        <w:rPr>
          <w:szCs w:val="24"/>
        </w:rPr>
        <w:t xml:space="preserve"> review</w:t>
      </w:r>
      <w:r w:rsidR="004E0C12">
        <w:rPr>
          <w:szCs w:val="24"/>
        </w:rPr>
        <w:t xml:space="preserve"> and approval</w:t>
      </w:r>
      <w:r w:rsidRPr="00E20769">
        <w:rPr>
          <w:szCs w:val="24"/>
        </w:rPr>
        <w:t>, and recording the deed in the Prince William County land records.</w:t>
      </w:r>
    </w:p>
    <w:p w14:paraId="171F55C3" w14:textId="77777777" w:rsidR="001347C3" w:rsidRPr="00E20769" w:rsidRDefault="001347C3" w:rsidP="001347C3">
      <w:pPr>
        <w:pStyle w:val="ListParagraph"/>
        <w:rPr>
          <w:szCs w:val="24"/>
        </w:rPr>
      </w:pPr>
    </w:p>
    <w:p w14:paraId="2829DFC0" w14:textId="77777777" w:rsidR="001347C3" w:rsidRPr="00E20769" w:rsidRDefault="001347C3" w:rsidP="001347C3">
      <w:pPr>
        <w:pStyle w:val="ListParagraph"/>
        <w:numPr>
          <w:ilvl w:val="0"/>
          <w:numId w:val="1"/>
        </w:numPr>
        <w:rPr>
          <w:rStyle w:val="MSGENFONTSTYLENAMETEMPLATEROLENUMBERMSGENFONTSTYLENAMEBYROLETEXT2"/>
          <w:sz w:val="24"/>
          <w:szCs w:val="24"/>
          <w:shd w:val="clear" w:color="auto" w:fill="auto"/>
        </w:rPr>
      </w:pPr>
      <w:r w:rsidRPr="00E20769">
        <w:rPr>
          <w:rStyle w:val="MSGENFONTSTYLENAMETEMPLATEROLENUMBERMSGENFONTSTYLENAMEBYROLETEXT2"/>
          <w:sz w:val="24"/>
          <w:szCs w:val="24"/>
        </w:rPr>
        <w:t>The "omnibus” document is intended for use by an attorney, licensed to practice in the</w:t>
      </w:r>
      <w:r w:rsidRPr="00E20769">
        <w:rPr>
          <w:rStyle w:val="MSGENFONTSTYLENAMETEMPLATEROLENUMBERMSGENFONTSTYLENAMEBYROLETEXT2"/>
          <w:sz w:val="24"/>
          <w:szCs w:val="24"/>
        </w:rPr>
        <w:br/>
        <w:t>Commonwealth of Virginia, as a basic guide for the preparation of proposed deeds related to water and sewer infrastructure in Prince William County.</w:t>
      </w:r>
    </w:p>
    <w:p w14:paraId="69798E48" w14:textId="77777777" w:rsidR="00E20769" w:rsidRPr="00E20769" w:rsidRDefault="00E20769" w:rsidP="00E20769">
      <w:pPr>
        <w:pStyle w:val="ListParagraph"/>
        <w:rPr>
          <w:szCs w:val="24"/>
        </w:rPr>
      </w:pPr>
    </w:p>
    <w:p w14:paraId="77544F92" w14:textId="77777777" w:rsidR="00E20769" w:rsidRPr="00E20769" w:rsidRDefault="00E20769" w:rsidP="001347C3">
      <w:pPr>
        <w:pStyle w:val="ListParagraph"/>
        <w:numPr>
          <w:ilvl w:val="0"/>
          <w:numId w:val="1"/>
        </w:numPr>
        <w:rPr>
          <w:szCs w:val="24"/>
        </w:rPr>
      </w:pPr>
      <w:r w:rsidRPr="00E20769">
        <w:rPr>
          <w:szCs w:val="24"/>
        </w:rPr>
        <w:t>The format or style of the deed is not exclusive to the omnibus document.</w:t>
      </w:r>
    </w:p>
    <w:p w14:paraId="787D980F" w14:textId="77777777" w:rsidR="00E20769" w:rsidRPr="00E20769" w:rsidRDefault="00E20769" w:rsidP="00E20769">
      <w:pPr>
        <w:pStyle w:val="ListParagraph"/>
        <w:rPr>
          <w:szCs w:val="24"/>
        </w:rPr>
      </w:pPr>
    </w:p>
    <w:p w14:paraId="053F79C1" w14:textId="38E3F006" w:rsidR="00E20769" w:rsidRPr="00FA3DB5" w:rsidRDefault="00E20769" w:rsidP="001347C3">
      <w:pPr>
        <w:pStyle w:val="ListParagraph"/>
        <w:numPr>
          <w:ilvl w:val="0"/>
          <w:numId w:val="1"/>
        </w:numPr>
        <w:rPr>
          <w:rStyle w:val="MSGENFONTSTYLENAMETEMPLATEROLENUMBERMSGENFONTSTYLENAMEBYROLETEXT2"/>
          <w:sz w:val="24"/>
          <w:szCs w:val="24"/>
          <w:shd w:val="clear" w:color="auto" w:fill="auto"/>
        </w:rPr>
      </w:pPr>
      <w:r w:rsidRPr="00E20769">
        <w:rPr>
          <w:szCs w:val="24"/>
        </w:rPr>
        <w:t xml:space="preserve">Notwithstanding Guideline 3, </w:t>
      </w:r>
      <w:r w:rsidRPr="00E20769">
        <w:rPr>
          <w:rStyle w:val="MSGENFONTSTYLENAMETEMPLATEROLENUMBERMSGENFONTSTYLENAMEBYROLETEXT2"/>
          <w:sz w:val="24"/>
          <w:szCs w:val="24"/>
        </w:rPr>
        <w:t xml:space="preserve">the specific terms and conditions are standardized, as set forth in the omnibus document. Therefore, the terms and conditions for required </w:t>
      </w:r>
      <w:r w:rsidR="00392DC5">
        <w:rPr>
          <w:rStyle w:val="MSGENFONTSTYLENAMETEMPLATEROLENUMBERMSGENFONTSTYLENAMEBYROLETEXT2"/>
          <w:sz w:val="24"/>
          <w:szCs w:val="24"/>
        </w:rPr>
        <w:t>interests</w:t>
      </w:r>
      <w:r w:rsidRPr="00E20769">
        <w:rPr>
          <w:rStyle w:val="MSGENFONTSTYLENAMETEMPLATEROLENUMBERMSGENFONTSTYLENAMEBYROLETEXT2"/>
          <w:sz w:val="24"/>
          <w:szCs w:val="24"/>
        </w:rPr>
        <w:t xml:space="preserve"> should be set forth verbatim.</w:t>
      </w:r>
      <w:r>
        <w:rPr>
          <w:rStyle w:val="MSGENFONTSTYLENAMETEMPLATEROLENUMBERMSGENFONTSTYLENAMEBYROLETEXT2"/>
          <w:sz w:val="24"/>
          <w:szCs w:val="24"/>
        </w:rPr>
        <w:t xml:space="preserve">  Minor deviations may be considered in certain cases where justification in writing is provided to </w:t>
      </w:r>
      <w:r w:rsidR="00B54E48">
        <w:rPr>
          <w:rStyle w:val="MSGENFONTSTYLENAMETEMPLATEROLENUMBERMSGENFONTSTYLENAMEBYROLETEXT2"/>
          <w:sz w:val="24"/>
          <w:szCs w:val="24"/>
        </w:rPr>
        <w:t xml:space="preserve">Prince William Water </w:t>
      </w:r>
      <w:r w:rsidR="00392DC5">
        <w:rPr>
          <w:rStyle w:val="MSGENFONTSTYLENAMETEMPLATEROLENUMBERMSGENFONTSTYLENAMEBYROLETEXT2"/>
          <w:sz w:val="24"/>
          <w:szCs w:val="24"/>
        </w:rPr>
        <w:t xml:space="preserve">by the </w:t>
      </w:r>
      <w:r w:rsidR="003B0737">
        <w:rPr>
          <w:szCs w:val="24"/>
        </w:rPr>
        <w:t>Applicant</w:t>
      </w:r>
      <w:r w:rsidR="00392DC5">
        <w:rPr>
          <w:rStyle w:val="MSGENFONTSTYLENAMETEMPLATEROLENUMBERMSGENFONTSTYLENAMEBYROLETEXT2"/>
          <w:sz w:val="24"/>
          <w:szCs w:val="24"/>
        </w:rPr>
        <w:t xml:space="preserve">.  However, </w:t>
      </w:r>
      <w:r w:rsidR="00B54E48">
        <w:rPr>
          <w:rStyle w:val="MSGENFONTSTYLENAMETEMPLATEROLENUMBERMSGENFONTSTYLENAMEBYROLETEXT2"/>
          <w:sz w:val="24"/>
          <w:szCs w:val="24"/>
        </w:rPr>
        <w:t xml:space="preserve">Prince William Water </w:t>
      </w:r>
      <w:r w:rsidR="00392DC5">
        <w:rPr>
          <w:rStyle w:val="MSGENFONTSTYLENAMETEMPLATEROLENUMBERMSGENFONTSTYLENAMEBYROLETEXT2"/>
          <w:sz w:val="24"/>
          <w:szCs w:val="24"/>
        </w:rPr>
        <w:t>does not guarantee all or any such requests will be granted.</w:t>
      </w:r>
    </w:p>
    <w:p w14:paraId="29E5D6A6" w14:textId="77777777" w:rsidR="006A5694" w:rsidRPr="006A5694" w:rsidRDefault="006A5694" w:rsidP="00FA3DB5">
      <w:pPr>
        <w:pStyle w:val="ListParagraph"/>
        <w:rPr>
          <w:rStyle w:val="MSGENFONTSTYLENAMETEMPLATEROLENUMBERMSGENFONTSTYLENAMEBYROLETEXT2"/>
          <w:sz w:val="24"/>
          <w:szCs w:val="24"/>
          <w:shd w:val="clear" w:color="auto" w:fill="auto"/>
        </w:rPr>
      </w:pPr>
    </w:p>
    <w:p w14:paraId="1790D270" w14:textId="4F569B51" w:rsidR="006A5694" w:rsidRPr="00392DC5" w:rsidRDefault="006A5694" w:rsidP="001347C3">
      <w:pPr>
        <w:pStyle w:val="ListParagraph"/>
        <w:numPr>
          <w:ilvl w:val="0"/>
          <w:numId w:val="1"/>
        </w:numPr>
        <w:rPr>
          <w:rStyle w:val="MSGENFONTSTYLENAMETEMPLATEROLENUMBERMSGENFONTSTYLENAMEBYROLETEXT2"/>
          <w:sz w:val="24"/>
          <w:szCs w:val="24"/>
          <w:shd w:val="clear" w:color="auto" w:fill="auto"/>
        </w:rPr>
      </w:pPr>
      <w:r>
        <w:rPr>
          <w:rStyle w:val="MSGENFONTSTYLENAMETEMPLATEROLENUMBERMSGENFONTSTYLENAMEBYROLETEXT2"/>
          <w:sz w:val="24"/>
          <w:szCs w:val="24"/>
          <w:shd w:val="clear" w:color="auto" w:fill="auto"/>
        </w:rPr>
        <w:t xml:space="preserve">Where the Applicant proposes to convey to Prince William Water a Waterline and/or Sanitary Sewer Easement of a non-standard or ‘variable’ width, the Applicant shall ensure that the description of such easement as provided within both the Plat and Deed instruments specifies the granting of a “Variable Width Easement.” The Applicant must meet this requirement at any non-standard portion of </w:t>
      </w:r>
      <w:r w:rsidR="006B4B0F">
        <w:rPr>
          <w:rStyle w:val="MSGENFONTSTYLENAMETEMPLATEROLENUMBERMSGENFONTSTYLENAMEBYROLETEXT2"/>
          <w:sz w:val="24"/>
          <w:szCs w:val="24"/>
          <w:shd w:val="clear" w:color="auto" w:fill="auto"/>
        </w:rPr>
        <w:t>an otherwise standard easement. Prince William Water will reject a</w:t>
      </w:r>
      <w:r w:rsidR="00886E1E">
        <w:rPr>
          <w:rStyle w:val="MSGENFONTSTYLENAMETEMPLATEROLENUMBERMSGENFONTSTYLENAMEBYROLETEXT2"/>
          <w:sz w:val="24"/>
          <w:szCs w:val="24"/>
          <w:shd w:val="clear" w:color="auto" w:fill="auto"/>
        </w:rPr>
        <w:t>ny</w:t>
      </w:r>
      <w:r w:rsidR="006B4B0F">
        <w:rPr>
          <w:rStyle w:val="MSGENFONTSTYLENAMETEMPLATEROLENUMBERMSGENFONTSTYLENAMEBYROLETEXT2"/>
          <w:sz w:val="24"/>
          <w:szCs w:val="24"/>
          <w:shd w:val="clear" w:color="auto" w:fill="auto"/>
        </w:rPr>
        <w:t xml:space="preserve"> submittal which fails to properly label easements of variable width or to include the required </w:t>
      </w:r>
      <w:r w:rsidR="004D2C86">
        <w:rPr>
          <w:rStyle w:val="MSGENFONTSTYLENAMETEMPLATEROLENUMBERMSGENFONTSTYLENAMEBYROLETEXT2"/>
          <w:sz w:val="24"/>
          <w:szCs w:val="24"/>
          <w:shd w:val="clear" w:color="auto" w:fill="auto"/>
        </w:rPr>
        <w:t xml:space="preserve">easement </w:t>
      </w:r>
      <w:r w:rsidR="006B4B0F">
        <w:rPr>
          <w:rStyle w:val="MSGENFONTSTYLENAMETEMPLATEROLENUMBERMSGENFONTSTYLENAMEBYROLETEXT2"/>
          <w:sz w:val="24"/>
          <w:szCs w:val="24"/>
          <w:shd w:val="clear" w:color="auto" w:fill="auto"/>
        </w:rPr>
        <w:t>description within the Deed.</w:t>
      </w:r>
      <w:r>
        <w:rPr>
          <w:rStyle w:val="MSGENFONTSTYLENAMETEMPLATEROLENUMBERMSGENFONTSTYLENAMEBYROLETEXT2"/>
          <w:sz w:val="24"/>
          <w:szCs w:val="24"/>
          <w:shd w:val="clear" w:color="auto" w:fill="auto"/>
        </w:rPr>
        <w:t xml:space="preserve">    </w:t>
      </w:r>
    </w:p>
    <w:p w14:paraId="6F2E8FCB" w14:textId="77777777" w:rsidR="00392DC5" w:rsidRPr="00392DC5" w:rsidRDefault="00392DC5" w:rsidP="00392DC5">
      <w:pPr>
        <w:pStyle w:val="ListParagraph"/>
        <w:rPr>
          <w:szCs w:val="24"/>
        </w:rPr>
      </w:pPr>
    </w:p>
    <w:p w14:paraId="684F3ECD" w14:textId="1B7BF4D1" w:rsidR="00392DC5" w:rsidRPr="00E20769" w:rsidRDefault="00392DC5" w:rsidP="003B073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The </w:t>
      </w:r>
      <w:r w:rsidR="003B0737">
        <w:rPr>
          <w:szCs w:val="24"/>
        </w:rPr>
        <w:t xml:space="preserve">Applicant must submit a clean and redline copy of the proposed deed to </w:t>
      </w:r>
      <w:r w:rsidR="00B54E48">
        <w:rPr>
          <w:szCs w:val="24"/>
        </w:rPr>
        <w:t xml:space="preserve">Prince William Water </w:t>
      </w:r>
      <w:r w:rsidR="003B0737">
        <w:rPr>
          <w:szCs w:val="24"/>
        </w:rPr>
        <w:t xml:space="preserve">for review.  The </w:t>
      </w:r>
      <w:proofErr w:type="gramStart"/>
      <w:r w:rsidR="003B0737">
        <w:rPr>
          <w:szCs w:val="24"/>
        </w:rPr>
        <w:t>redline copy</w:t>
      </w:r>
      <w:proofErr w:type="gramEnd"/>
      <w:r w:rsidR="003B0737">
        <w:rPr>
          <w:szCs w:val="24"/>
        </w:rPr>
        <w:t xml:space="preserve"> should show all proposed changes to the omnibus document.  </w:t>
      </w:r>
    </w:p>
    <w:sectPr w:rsidR="00392DC5" w:rsidRPr="00E2076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070A" w14:textId="77777777" w:rsidR="009418EB" w:rsidRDefault="009418EB" w:rsidP="005E3C59">
      <w:r>
        <w:separator/>
      </w:r>
    </w:p>
  </w:endnote>
  <w:endnote w:type="continuationSeparator" w:id="0">
    <w:p w14:paraId="69054648" w14:textId="77777777" w:rsidR="009418EB" w:rsidRDefault="009418EB" w:rsidP="005E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1CF9" w14:textId="77777777" w:rsidR="005E3C59" w:rsidRPr="005E3C59" w:rsidRDefault="001F7960" w:rsidP="005E3C59">
    <w:pPr>
      <w:pStyle w:val="Footer"/>
    </w:pPr>
    <w:r w:rsidRPr="001F7960">
      <w:rPr>
        <w:noProof/>
        <w:vanish/>
        <w:sz w:val="16"/>
      </w:rPr>
      <w:t>{</w:t>
    </w:r>
    <w:r w:rsidRPr="001F7960">
      <w:rPr>
        <w:noProof/>
        <w:sz w:val="16"/>
      </w:rPr>
      <w:t>01194962-1</w:t>
    </w:r>
    <w:r w:rsidRPr="001F7960">
      <w:rPr>
        <w:noProof/>
        <w:vanish/>
        <w:sz w:val="16"/>
      </w:rPr>
      <w:t>}</w:t>
    </w:r>
    <w:r w:rsidR="005E3C5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B010" w14:textId="77777777" w:rsidR="009418EB" w:rsidRDefault="009418EB" w:rsidP="005E3C5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CFF3B10" w14:textId="77777777" w:rsidR="009418EB" w:rsidRDefault="009418EB" w:rsidP="005E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E2E39"/>
    <w:multiLevelType w:val="hybridMultilevel"/>
    <w:tmpl w:val="88D8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33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dStampTxt" w:val="01194962-1"/>
  </w:docVars>
  <w:rsids>
    <w:rsidRoot w:val="00CB29DD"/>
    <w:rsid w:val="0004747B"/>
    <w:rsid w:val="000B7835"/>
    <w:rsid w:val="001347C3"/>
    <w:rsid w:val="001B2BB2"/>
    <w:rsid w:val="001F7960"/>
    <w:rsid w:val="003735DD"/>
    <w:rsid w:val="00392DC5"/>
    <w:rsid w:val="003B0737"/>
    <w:rsid w:val="00410688"/>
    <w:rsid w:val="004D2C86"/>
    <w:rsid w:val="004E0C12"/>
    <w:rsid w:val="00521762"/>
    <w:rsid w:val="005E3C59"/>
    <w:rsid w:val="00676DD0"/>
    <w:rsid w:val="006A5694"/>
    <w:rsid w:val="006B4B0F"/>
    <w:rsid w:val="007C642E"/>
    <w:rsid w:val="00837B9C"/>
    <w:rsid w:val="00844E97"/>
    <w:rsid w:val="00886E1E"/>
    <w:rsid w:val="008A1DBE"/>
    <w:rsid w:val="009416C0"/>
    <w:rsid w:val="009418EB"/>
    <w:rsid w:val="009568F9"/>
    <w:rsid w:val="00974F94"/>
    <w:rsid w:val="00A53FDE"/>
    <w:rsid w:val="00B54E48"/>
    <w:rsid w:val="00C62577"/>
    <w:rsid w:val="00C75786"/>
    <w:rsid w:val="00CB29DD"/>
    <w:rsid w:val="00D37CCB"/>
    <w:rsid w:val="00D46CF4"/>
    <w:rsid w:val="00DC0D0A"/>
    <w:rsid w:val="00E20769"/>
    <w:rsid w:val="00F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7C82"/>
  <w15:chartTrackingRefBased/>
  <w15:docId w15:val="{6FF9B7AF-EEFD-43BF-ABAA-A1E9295C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7C3"/>
    <w:pPr>
      <w:ind w:left="720"/>
      <w:contextualSpacing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1347C3"/>
    <w:rPr>
      <w:sz w:val="23"/>
      <w:szCs w:val="23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1347C3"/>
    <w:pPr>
      <w:widowControl w:val="0"/>
      <w:shd w:val="clear" w:color="auto" w:fill="FFFFFF"/>
      <w:spacing w:after="300" w:line="0" w:lineRule="atLeast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5E3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C59"/>
  </w:style>
  <w:style w:type="paragraph" w:styleId="Footer">
    <w:name w:val="footer"/>
    <w:basedOn w:val="Normal"/>
    <w:link w:val="FooterChar"/>
    <w:uiPriority w:val="99"/>
    <w:unhideWhenUsed/>
    <w:rsid w:val="005E3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C59"/>
  </w:style>
  <w:style w:type="paragraph" w:styleId="Revision">
    <w:name w:val="Revision"/>
    <w:hidden/>
    <w:uiPriority w:val="99"/>
    <w:semiHidden/>
    <w:rsid w:val="00B5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952e74-4162-478f-b67a-728bd72004df" xsi:nil="true"/>
    <lcf76f155ced4ddcb4097134ff3c332f xmlns="f99b4da2-b85b-4f1b-b09f-d2c948167ea5">
      <Terms xmlns="http://schemas.microsoft.com/office/infopath/2007/PartnerControls"/>
    </lcf76f155ced4ddcb4097134ff3c332f>
    <Date xmlns="f99b4da2-b85b-4f1b-b09f-d2c948167ea5" xsi:nil="true"/>
    <Year xmlns="f99b4da2-b85b-4f1b-b09f-d2c948167e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D8141FD031946BA888F860FCCD693" ma:contentTypeVersion="15" ma:contentTypeDescription="Create a new document." ma:contentTypeScope="" ma:versionID="5bc3596834a3b4a44fb8fa80334aaf5e">
  <xsd:schema xmlns:xsd="http://www.w3.org/2001/XMLSchema" xmlns:xs="http://www.w3.org/2001/XMLSchema" xmlns:p="http://schemas.microsoft.com/office/2006/metadata/properties" xmlns:ns2="f99b4da2-b85b-4f1b-b09f-d2c948167ea5" xmlns:ns3="f1952e74-4162-478f-b67a-728bd72004df" targetNamespace="http://schemas.microsoft.com/office/2006/metadata/properties" ma:root="true" ma:fieldsID="e5e54fd7fabb441a922616d021e3ad4e" ns2:_="" ns3:_="">
    <xsd:import namespace="f99b4da2-b85b-4f1b-b09f-d2c948167ea5"/>
    <xsd:import namespace="f1952e74-4162-478f-b67a-728bd7200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  <xsd:element ref="ns2:Yea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4da2-b85b-4f1b-b09f-d2c948167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Year" ma:index="13" nillable="true" ma:displayName="Year" ma:format="Dropdown" ma:internalName="Ye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2691da-e991-4892-9521-b3ef5a645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52e74-4162-478f-b67a-728bd72004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ee965c8-6b23-49a1-8bfe-5d488ed420c2}" ma:internalName="TaxCatchAll" ma:showField="CatchAllData" ma:web="f1952e74-4162-478f-b67a-728bd7200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DC4DC-12D8-4388-B034-596E3DDDCD4E}">
  <ds:schemaRefs>
    <ds:schemaRef ds:uri="http://schemas.microsoft.com/office/2006/metadata/properties"/>
    <ds:schemaRef ds:uri="http://schemas.microsoft.com/office/infopath/2007/PartnerControls"/>
    <ds:schemaRef ds:uri="f1952e74-4162-478f-b67a-728bd72004df"/>
    <ds:schemaRef ds:uri="f99b4da2-b85b-4f1b-b09f-d2c948167ea5"/>
  </ds:schemaRefs>
</ds:datastoreItem>
</file>

<file path=customXml/itemProps2.xml><?xml version="1.0" encoding="utf-8"?>
<ds:datastoreItem xmlns:ds="http://schemas.openxmlformats.org/officeDocument/2006/customXml" ds:itemID="{6381EF77-2B18-43EA-8B1A-C083C0B13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F1A99-CB52-425C-BF70-6EB8A5F10845}"/>
</file>

<file path=docMetadata/LabelInfo.xml><?xml version="1.0" encoding="utf-8"?>
<clbl:labelList xmlns:clbl="http://schemas.microsoft.com/office/2020/mipLabelMetadata">
  <clbl:label id="{ebd000c2-d36e-4525-8fcd-986893758e58}" enabled="1" method="Standard" siteId="{a5ef2c3b-f15d-4e76-b813-53d9f34369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4</DocSecurity>
  <PresentationFormat>14|.DOCX</PresentationFormat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PWCSA_Deed Preparation Guidelines for Applicants (01194962).DOCX</vt:lpstr>
    </vt:vector>
  </TitlesOfParts>
  <Company>BKK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PWCSA_Deed Preparation Guidelines for Applicants (01194962).DOCX</dc:title>
  <dc:subject>01194962-1</dc:subject>
  <dc:creator>Matthew G. Roberts</dc:creator>
  <cp:keywords/>
  <dc:description/>
  <cp:lastModifiedBy>Sam Kearney</cp:lastModifiedBy>
  <cp:revision>2</cp:revision>
  <dcterms:created xsi:type="dcterms:W3CDTF">2026-03-03T13:43:00Z</dcterms:created>
  <dcterms:modified xsi:type="dcterms:W3CDTF">2026-03-03T13:43:00Z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0x010100944D8141FD031946BA888F860FCCD693</vt:lpwstr>
  </property>
  <property fmtid="{D5CDD505-2E9C-101B-9397-08002B2CF9AE}" pid="3" name="MediaServiceImageTags">
    <vt:lpwstr/>
  </property>
</Properties>
</file>